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eastAsia="zh-CN"/>
        </w:rPr>
        <w:t>肇庆星湖风景名胜区管理局视频会议系统</w:t>
      </w:r>
    </w:p>
    <w:p>
      <w:pPr>
        <w:jc w:val="center"/>
        <w:rPr>
          <w:rFonts w:hint="eastAsia" w:asciiTheme="majorEastAsia" w:hAnsiTheme="majorEastAsia" w:eastAsiaTheme="majorEastAsia" w:cstheme="majorEastAsia"/>
          <w:b w:val="0"/>
          <w:i w:val="0"/>
          <w:caps w:val="0"/>
          <w:color w:val="000000"/>
          <w:spacing w:val="0"/>
          <w:sz w:val="44"/>
          <w:szCs w:val="44"/>
          <w:shd w:val="clear" w:fill="FFFFFF"/>
          <w:lang w:eastAsia="zh-CN"/>
        </w:rPr>
      </w:pPr>
      <w:r>
        <w:rPr>
          <w:rFonts w:hint="eastAsia" w:asciiTheme="majorEastAsia" w:hAnsiTheme="majorEastAsia" w:eastAsiaTheme="majorEastAsia" w:cstheme="majorEastAsia"/>
          <w:b/>
          <w:sz w:val="44"/>
          <w:szCs w:val="44"/>
          <w:lang w:eastAsia="zh-CN"/>
        </w:rPr>
        <w:t>用户需求书</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采购单位： </w:t>
      </w:r>
      <w:r>
        <w:rPr>
          <w:rFonts w:hint="eastAsia" w:ascii="仿宋_GB2312" w:hAnsi="仿宋_GB2312" w:eastAsia="仿宋_GB2312" w:cs="仿宋_GB2312"/>
          <w:sz w:val="32"/>
          <w:szCs w:val="32"/>
          <w:lang w:eastAsia="zh-CN"/>
        </w:rPr>
        <w:t>肇庆星湖风景名胜区管理局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编制时间： 二○一八年</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月</w:t>
      </w:r>
    </w:p>
    <w:p>
      <w:pPr>
        <w:numPr>
          <w:ilvl w:val="0"/>
          <w:numId w:val="0"/>
        </w:numPr>
        <w:rPr>
          <w:rFonts w:hint="eastAsia" w:ascii="仿宋_GB2312" w:hAnsi="宋体"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sz w:val="32"/>
          <w:szCs w:val="32"/>
        </w:rPr>
        <w:t>一、项目名称：</w:t>
      </w:r>
      <w:r>
        <w:rPr>
          <w:rFonts w:hint="eastAsia" w:ascii="仿宋_GB2312" w:hAnsi="宋体" w:eastAsia="仿宋_GB2312" w:cs="仿宋_GB2312"/>
          <w:b w:val="0"/>
          <w:i w:val="0"/>
          <w:caps w:val="0"/>
          <w:color w:val="000000"/>
          <w:spacing w:val="0"/>
          <w:sz w:val="32"/>
          <w:szCs w:val="32"/>
          <w:shd w:val="clear" w:fill="FFFFFF"/>
          <w:lang w:eastAsia="zh-CN"/>
        </w:rPr>
        <w:t>肇庆星湖风景名胜区管理局视频会议系统采购项目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二、供应商资格要求：</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1、中华人民共和国境内注册的具有独立承担民事责任能力的法人或其他组织，并具备从事本采购项目的能力；</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2、具备《政府采购法》第二十二条规定的条件；</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机构于投标截止日当天在“信用中国”网站（www.creditchina.gov.cn）及中国政府采购网(www.ccgp.gov.cn)查询结果为准，如相关失信记录已失效，响应供应商需提供相关证明资料）</w:t>
      </w:r>
    </w:p>
    <w:p>
      <w:pPr>
        <w:rPr>
          <w:rFonts w:hint="eastAsia" w:ascii="仿宋_GB2312" w:hAnsi="宋体" w:eastAsia="仿宋_GB2312" w:cs="仿宋_GB2312"/>
          <w:b w:val="0"/>
          <w:i w:val="0"/>
          <w:caps w:val="0"/>
          <w:color w:val="000000"/>
          <w:spacing w:val="0"/>
          <w:sz w:val="32"/>
          <w:szCs w:val="32"/>
          <w:shd w:val="clear" w:fill="FFFFFF"/>
          <w:lang w:val="en-US" w:eastAsia="zh-CN"/>
        </w:rPr>
      </w:pPr>
      <w:r>
        <w:rPr>
          <w:rFonts w:hint="eastAsia" w:ascii="仿宋_GB2312" w:hAnsi="宋体" w:eastAsia="仿宋_GB2312" w:cs="仿宋_GB2312"/>
          <w:b w:val="0"/>
          <w:i w:val="0"/>
          <w:caps w:val="0"/>
          <w:color w:val="000000"/>
          <w:spacing w:val="0"/>
          <w:sz w:val="32"/>
          <w:szCs w:val="32"/>
          <w:shd w:val="clear" w:fill="FFFFFF"/>
          <w:lang w:val="en-US" w:eastAsia="zh-CN"/>
        </w:rPr>
        <w:t>4、本项目不接受联合体报名；</w:t>
      </w:r>
    </w:p>
    <w:p>
      <w:pPr>
        <w:numPr>
          <w:ilvl w:val="0"/>
          <w:numId w:val="0"/>
        </w:numPr>
        <w:ind w:leftChars="0"/>
        <w:rPr>
          <w:rFonts w:hint="eastAsia" w:ascii="仿宋_GB2312" w:hAnsi="仿宋_GB2312" w:eastAsia="仿宋_GB2312" w:cs="仿宋_GB2312"/>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三、项目基本内容</w:t>
      </w:r>
    </w:p>
    <w:tbl>
      <w:tblPr>
        <w:tblStyle w:val="7"/>
        <w:tblW w:w="91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F"/>
        <w:tblLayout w:type="fixed"/>
        <w:tblCellMar>
          <w:top w:w="0" w:type="dxa"/>
          <w:left w:w="0" w:type="dxa"/>
          <w:bottom w:w="0" w:type="dxa"/>
          <w:right w:w="0" w:type="dxa"/>
        </w:tblCellMar>
      </w:tblPr>
      <w:tblGrid>
        <w:gridCol w:w="2930"/>
        <w:gridCol w:w="897"/>
        <w:gridCol w:w="1918"/>
        <w:gridCol w:w="34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CFF"/>
          <w:tblLayout w:type="fixed"/>
          <w:tblCellMar>
            <w:top w:w="0" w:type="dxa"/>
            <w:left w:w="0" w:type="dxa"/>
            <w:bottom w:w="0" w:type="dxa"/>
            <w:right w:w="0" w:type="dxa"/>
          </w:tblCellMar>
        </w:tblPrEx>
        <w:trPr>
          <w:trHeight w:val="777" w:hRule="atLeast"/>
          <w:tblCellSpacing w:w="0" w:type="dxa"/>
        </w:trPr>
        <w:tc>
          <w:tcPr>
            <w:tcW w:w="2930" w:type="dxa"/>
            <w:shd w:val="clear" w:color="auto" w:fill="F8FCFF"/>
            <w:vAlign w:val="center"/>
          </w:tcPr>
          <w:p>
            <w:pPr>
              <w:pStyle w:val="4"/>
              <w:keepNext w:val="0"/>
              <w:keepLines w:val="0"/>
              <w:widowControl/>
              <w:suppressLineNumbers w:val="0"/>
              <w:jc w:val="center"/>
            </w:pPr>
            <w:r>
              <w:rPr>
                <w:rStyle w:val="6"/>
                <w:rFonts w:hint="eastAsia" w:ascii="宋体" w:hAnsi="宋体" w:eastAsia="宋体" w:cs="宋体"/>
                <w:i w:val="0"/>
                <w:caps w:val="0"/>
                <w:color w:val="000000"/>
                <w:spacing w:val="0"/>
                <w:sz w:val="24"/>
                <w:szCs w:val="24"/>
              </w:rPr>
              <w:t>采购项目</w:t>
            </w:r>
          </w:p>
        </w:tc>
        <w:tc>
          <w:tcPr>
            <w:tcW w:w="897" w:type="dxa"/>
            <w:shd w:val="clear" w:color="auto" w:fill="F8FCFF"/>
            <w:vAlign w:val="center"/>
          </w:tcPr>
          <w:p>
            <w:pPr>
              <w:pStyle w:val="4"/>
              <w:keepNext w:val="0"/>
              <w:keepLines w:val="0"/>
              <w:widowControl/>
              <w:suppressLineNumbers w:val="0"/>
              <w:jc w:val="center"/>
            </w:pPr>
            <w:r>
              <w:rPr>
                <w:rStyle w:val="6"/>
                <w:rFonts w:hint="eastAsia" w:ascii="宋体" w:hAnsi="宋体" w:eastAsia="宋体" w:cs="宋体"/>
                <w:i w:val="0"/>
                <w:caps w:val="0"/>
                <w:color w:val="000000"/>
                <w:spacing w:val="0"/>
                <w:sz w:val="24"/>
                <w:szCs w:val="24"/>
              </w:rPr>
              <w:t>数量</w:t>
            </w:r>
          </w:p>
        </w:tc>
        <w:tc>
          <w:tcPr>
            <w:tcW w:w="1918" w:type="dxa"/>
            <w:shd w:val="clear" w:color="auto" w:fill="F8FCFF"/>
            <w:vAlign w:val="center"/>
          </w:tcPr>
          <w:p>
            <w:pPr>
              <w:pStyle w:val="4"/>
              <w:keepNext w:val="0"/>
              <w:keepLines w:val="0"/>
              <w:widowControl/>
              <w:suppressLineNumbers w:val="0"/>
              <w:jc w:val="center"/>
            </w:pPr>
            <w:r>
              <w:rPr>
                <w:rStyle w:val="6"/>
                <w:rFonts w:hint="eastAsia" w:ascii="宋体" w:hAnsi="宋体" w:eastAsia="宋体" w:cs="宋体"/>
                <w:i w:val="0"/>
                <w:caps w:val="0"/>
                <w:color w:val="000000"/>
                <w:spacing w:val="0"/>
                <w:sz w:val="24"/>
                <w:szCs w:val="24"/>
              </w:rPr>
              <w:t>交货期</w:t>
            </w:r>
          </w:p>
        </w:tc>
        <w:tc>
          <w:tcPr>
            <w:tcW w:w="3404" w:type="dxa"/>
            <w:shd w:val="clear" w:color="auto" w:fill="F8FCFF"/>
            <w:vAlign w:val="center"/>
          </w:tcPr>
          <w:p>
            <w:pPr>
              <w:pStyle w:val="4"/>
              <w:keepNext w:val="0"/>
              <w:keepLines w:val="0"/>
              <w:widowControl/>
              <w:suppressLineNumbers w:val="0"/>
              <w:jc w:val="center"/>
            </w:pPr>
            <w:r>
              <w:rPr>
                <w:rStyle w:val="6"/>
                <w:rFonts w:hint="eastAsia" w:ascii="宋体" w:hAnsi="宋体" w:eastAsia="宋体" w:cs="宋体"/>
                <w:i w:val="0"/>
                <w:caps w:val="0"/>
                <w:color w:val="000000"/>
                <w:spacing w:val="0"/>
                <w:sz w:val="24"/>
                <w:szCs w:val="24"/>
              </w:rPr>
              <w:t>预算价格</w:t>
            </w:r>
          </w:p>
          <w:p>
            <w:pPr>
              <w:pStyle w:val="4"/>
              <w:keepNext w:val="0"/>
              <w:keepLines w:val="0"/>
              <w:widowControl/>
              <w:suppressLineNumbers w:val="0"/>
              <w:jc w:val="center"/>
            </w:pPr>
            <w:r>
              <w:rPr>
                <w:rStyle w:val="6"/>
                <w:rFonts w:hint="eastAsia" w:ascii="宋体" w:hAnsi="宋体" w:eastAsia="宋体" w:cs="宋体"/>
                <w:i w:val="0"/>
                <w:caps w:val="0"/>
                <w:color w:val="000000"/>
                <w:spacing w:val="0"/>
                <w:sz w:val="24"/>
                <w:szCs w:val="24"/>
              </w:rPr>
              <w:t>（最高限价）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71" w:hRule="atLeast"/>
          <w:tblCellSpacing w:w="0" w:type="dxa"/>
        </w:trPr>
        <w:tc>
          <w:tcPr>
            <w:tcW w:w="2930" w:type="dxa"/>
            <w:shd w:val="clear" w:color="auto" w:fill="F8FCFF"/>
            <w:vAlign w:val="center"/>
          </w:tcPr>
          <w:p>
            <w:pPr>
              <w:pStyle w:val="4"/>
              <w:keepNext w:val="0"/>
              <w:keepLines w:val="0"/>
              <w:widowControl/>
              <w:suppressLineNumbers w:val="0"/>
              <w:jc w:val="center"/>
            </w:pPr>
            <w:r>
              <w:rPr>
                <w:rFonts w:hint="eastAsia" w:ascii="宋体" w:hAnsi="宋体" w:eastAsia="宋体" w:cs="宋体"/>
                <w:b w:val="0"/>
                <w:i w:val="0"/>
                <w:caps w:val="0"/>
                <w:color w:val="000000"/>
                <w:spacing w:val="0"/>
                <w:sz w:val="18"/>
                <w:szCs w:val="18"/>
                <w:lang w:eastAsia="zh-CN"/>
              </w:rPr>
              <w:t>肇庆星湖风景名胜区管理局视频会议系统</w:t>
            </w:r>
          </w:p>
        </w:tc>
        <w:tc>
          <w:tcPr>
            <w:tcW w:w="897" w:type="dxa"/>
            <w:shd w:val="clear" w:color="auto" w:fill="F8FCFF"/>
            <w:vAlign w:val="center"/>
          </w:tcPr>
          <w:p>
            <w:pPr>
              <w:pStyle w:val="4"/>
              <w:keepNext w:val="0"/>
              <w:keepLines w:val="0"/>
              <w:widowControl/>
              <w:suppressLineNumbers w:val="0"/>
              <w:jc w:val="center"/>
              <w:rPr>
                <w:rFonts w:hint="eastAsia" w:eastAsia="宋体"/>
                <w:lang w:eastAsia="zh-CN"/>
              </w:rPr>
            </w:pPr>
            <w:r>
              <w:rPr>
                <w:rFonts w:hint="eastAsia" w:ascii="宋体" w:hAnsi="宋体" w:eastAsia="宋体" w:cs="宋体"/>
                <w:b w:val="0"/>
                <w:i w:val="0"/>
                <w:caps w:val="0"/>
                <w:color w:val="000000"/>
                <w:spacing w:val="0"/>
                <w:sz w:val="18"/>
                <w:szCs w:val="18"/>
              </w:rPr>
              <w:t>1</w:t>
            </w:r>
            <w:r>
              <w:rPr>
                <w:rFonts w:hint="eastAsia" w:ascii="宋体" w:hAnsi="宋体" w:eastAsia="宋体" w:cs="宋体"/>
                <w:b w:val="0"/>
                <w:i w:val="0"/>
                <w:caps w:val="0"/>
                <w:color w:val="000000"/>
                <w:spacing w:val="0"/>
                <w:sz w:val="18"/>
                <w:szCs w:val="18"/>
                <w:lang w:eastAsia="zh-CN"/>
              </w:rPr>
              <w:t>套</w:t>
            </w:r>
          </w:p>
        </w:tc>
        <w:tc>
          <w:tcPr>
            <w:tcW w:w="1918" w:type="dxa"/>
            <w:shd w:val="clear" w:color="auto" w:fill="F8FCFF"/>
            <w:vAlign w:val="center"/>
          </w:tcPr>
          <w:p>
            <w:pPr>
              <w:pStyle w:val="4"/>
              <w:keepNext w:val="0"/>
              <w:keepLines w:val="0"/>
              <w:widowControl/>
              <w:suppressLineNumbers w:val="0"/>
              <w:jc w:val="center"/>
            </w:pPr>
            <w:r>
              <w:rPr>
                <w:rFonts w:ascii="新宋体" w:hAnsi="新宋体" w:eastAsia="新宋体" w:cs="新宋体"/>
                <w:b w:val="0"/>
                <w:i w:val="0"/>
                <w:caps w:val="0"/>
                <w:color w:val="000000"/>
                <w:spacing w:val="0"/>
                <w:sz w:val="18"/>
                <w:szCs w:val="18"/>
              </w:rPr>
              <w:t>合同签订后</w:t>
            </w:r>
            <w:r>
              <w:rPr>
                <w:rFonts w:hint="eastAsia" w:ascii="新宋体" w:hAnsi="新宋体" w:eastAsia="新宋体" w:cs="新宋体"/>
                <w:b w:val="0"/>
                <w:i w:val="0"/>
                <w:caps w:val="0"/>
                <w:color w:val="000000"/>
                <w:spacing w:val="0"/>
                <w:sz w:val="18"/>
                <w:szCs w:val="18"/>
                <w:lang w:val="en-US" w:eastAsia="zh-CN"/>
              </w:rPr>
              <w:t>15</w:t>
            </w:r>
            <w:r>
              <w:rPr>
                <w:rFonts w:ascii="新宋体" w:hAnsi="新宋体" w:eastAsia="新宋体" w:cs="新宋体"/>
                <w:b w:val="0"/>
                <w:i w:val="0"/>
                <w:caps w:val="0"/>
                <w:color w:val="000000"/>
                <w:spacing w:val="0"/>
                <w:sz w:val="18"/>
                <w:szCs w:val="18"/>
              </w:rPr>
              <w:t>日历天内安装调试完毕并交付使用</w:t>
            </w:r>
          </w:p>
        </w:tc>
        <w:tc>
          <w:tcPr>
            <w:tcW w:w="3404" w:type="dxa"/>
            <w:shd w:val="clear" w:color="auto" w:fill="F8FCFF"/>
            <w:vAlign w:val="center"/>
          </w:tcPr>
          <w:p>
            <w:pPr>
              <w:pStyle w:val="4"/>
              <w:keepNext w:val="0"/>
              <w:keepLines w:val="0"/>
              <w:widowControl/>
              <w:suppressLineNumbers w:val="0"/>
              <w:jc w:val="center"/>
            </w:pPr>
            <w:r>
              <w:rPr>
                <w:rFonts w:hint="eastAsia" w:ascii="宋体" w:hAnsi="宋体" w:eastAsia="宋体" w:cs="宋体"/>
                <w:b w:val="0"/>
                <w:i w:val="0"/>
                <w:caps w:val="0"/>
                <w:color w:val="000000"/>
                <w:spacing w:val="0"/>
                <w:sz w:val="18"/>
                <w:szCs w:val="18"/>
              </w:rPr>
              <w:t>￥</w:t>
            </w:r>
            <w:r>
              <w:rPr>
                <w:rFonts w:hint="eastAsia" w:ascii="宋体" w:hAnsi="宋体" w:eastAsia="宋体" w:cs="宋体"/>
                <w:b w:val="0"/>
                <w:i w:val="0"/>
                <w:caps w:val="0"/>
                <w:color w:val="000000"/>
                <w:spacing w:val="0"/>
                <w:sz w:val="18"/>
                <w:szCs w:val="18"/>
                <w:lang w:val="en-US" w:eastAsia="zh-CN"/>
              </w:rPr>
              <w:t>13</w:t>
            </w:r>
            <w:r>
              <w:rPr>
                <w:rFonts w:hint="eastAsia" w:ascii="宋体" w:hAnsi="宋体" w:eastAsia="宋体" w:cs="宋体"/>
                <w:b w:val="0"/>
                <w:i w:val="0"/>
                <w:caps w:val="0"/>
                <w:color w:val="000000"/>
                <w:spacing w:val="0"/>
                <w:sz w:val="18"/>
                <w:szCs w:val="18"/>
              </w:rPr>
              <w:t>0,000.00</w:t>
            </w:r>
          </w:p>
          <w:p>
            <w:pPr>
              <w:pStyle w:val="4"/>
              <w:keepNext w:val="0"/>
              <w:keepLines w:val="0"/>
              <w:widowControl/>
              <w:suppressLineNumbers w:val="0"/>
              <w:jc w:val="center"/>
            </w:pPr>
            <w:r>
              <w:rPr>
                <w:rFonts w:hint="eastAsia" w:ascii="宋体" w:hAnsi="宋体" w:eastAsia="宋体" w:cs="宋体"/>
                <w:b w:val="0"/>
                <w:i w:val="0"/>
                <w:caps w:val="0"/>
                <w:color w:val="000000"/>
                <w:spacing w:val="0"/>
                <w:sz w:val="18"/>
                <w:szCs w:val="18"/>
              </w:rPr>
              <w:t>(大写：人民币</w:t>
            </w:r>
            <w:r>
              <w:rPr>
                <w:rFonts w:ascii="Arial" w:hAnsi="Arial" w:eastAsia="宋体" w:cs="Arial"/>
                <w:b w:val="0"/>
                <w:i w:val="0"/>
                <w:caps w:val="0"/>
                <w:color w:val="333333"/>
                <w:spacing w:val="0"/>
                <w:sz w:val="19"/>
                <w:szCs w:val="19"/>
                <w:shd w:val="clear" w:fill="FFFFFF"/>
              </w:rPr>
              <w:t>壹拾贰万</w:t>
            </w:r>
            <w:r>
              <w:rPr>
                <w:rFonts w:hint="eastAsia" w:ascii="宋体" w:hAnsi="宋体" w:eastAsia="宋体" w:cs="宋体"/>
                <w:b w:val="0"/>
                <w:i w:val="0"/>
                <w:caps w:val="0"/>
                <w:color w:val="000000"/>
                <w:spacing w:val="0"/>
                <w:sz w:val="18"/>
                <w:szCs w:val="18"/>
              </w:rPr>
              <w:t>元整)</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1、会议室 功能定位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（1）会场布局：会议方桌布局约 20 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（2）主要用途：交流会议，培训，信息发布，远程视频会议、会议签到投票表决、无纸化办公、会议议论备案、会议录音录像。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（3）功能：多媒体显示系统，音频扩声系统，全数字讨论系统，音频处理系统，智能化中控系统，会议摄像跟踪系统、远程视频会议系统、音视频存储系统、支撑打印系统等。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、数字会议发言系统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室设计数字会议系统，会议系统采用升降网络数字会议论发言系统，每只话筒单元通过延长线，外形美观，安装灵活，使用非常方便，而且布线量非常的少，不影响整体的装修布局。根据会议室布局设计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  数字会议主机 1 台（系统核心，控制、管理单元）；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②  主席单元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台（具有优先强切权限，桌面嵌入式安装）；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、专业扩声系统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设无线话筒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套，用于会议主持、用移动发言等；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、高清混合矩阵切换系统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在现代多媒体会议室，为了满足不同音视频信号的切换要求，配置了一台无缝高清混合矩阵切换器（16 路进和 16 路输出）机箱；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信号源：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 无纸化编解码器（需 1 路 HDMI 接口）;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 4 个带高清多媒体信息盒（需 4 路 HDMI 信号接口）;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 PC 电脑、高清 DVD（共需 2 路 HDMI 信号接口）;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 视频会议摄像头预留（高清信号 2 路 DVI 信号接口);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 视频会议预留（高清信号 1 路输入 HDMI 信号和 1 路输出 HDMI 信号);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、录音录像系统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室录播系统的建设已经成为视频会议信息记录、管理和发布的重要组成部分，随着会议系统得到越来越多的应用，各种会议的频繁召开，在多媒体会议室设计一套高清录播系统。高清会议录播系统针对远程视频、多功能会议、会议培训行业音视频记录、管理和发布等需求而研发的全高清录播系统，全高清录播系统采用嵌入式一体化设计，集高清视频编码、录制、点播、直播、导播及录播平台一体的专业录播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、实物展示系统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会场需配置一台实物展示台需要把物证和文件内容通过实物展示台进行放大通过视频接口连接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高清混插矩阵的输入切换到 LED 大屏显示观看；</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C1210"/>
    <w:rsid w:val="0A4C1210"/>
    <w:rsid w:val="22260B59"/>
    <w:rsid w:val="5F323690"/>
    <w:rsid w:val="5F7E6A2B"/>
    <w:rsid w:val="62003AE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2018-06-27T08:21:00Z</dcterms:created>
  <dc:creator>Administrator</dc:creator>
  <cp:lastModifiedBy>Administrator</cp:lastModifiedBy>
  <dcterms:modified xsi:type="dcterms:W3CDTF">2018-08-21T09:02:47Z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